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  <w:rPr>
          <w:rStyle w:val="6"/>
          <w:rFonts w:ascii="仿宋_GB2312" w:eastAsia="仿宋_GB2312" w:cs="仿宋_GB2312"/>
          <w:sz w:val="21"/>
          <w:szCs w:val="21"/>
        </w:rPr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招标编号：H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NRB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 xml:space="preserve">YFZS-SN- 2023-01 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960" w:firstLineChars="400"/>
              <w:jc w:val="left"/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720" w:firstLineChars="300"/>
              <w:jc w:val="left"/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val="en-US" w:eastAsia="zh-CN"/>
              </w:rPr>
              <w:t>沙港路大修工程第二期工程项目经理部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声明：招标文件为我公司自愿购买，并愿意缴纳招标投标保证金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/包件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tbl>
      <w:tblPr>
        <w:tblStyle w:val="4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4"/>
              <w:tblW w:w="9249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8"/>
              <w:gridCol w:w="1312"/>
              <w:gridCol w:w="2106"/>
              <w:gridCol w:w="194"/>
              <w:gridCol w:w="1331"/>
              <w:gridCol w:w="286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4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3612" w:type="dxa"/>
                  <w:gridSpan w:val="3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31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361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331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9249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default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312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hAnsi="宋体" w:eastAsia="仿宋_GB2312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4393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9249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 xml:space="preserve">人民币: </w:t>
                  </w: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341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525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68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438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default" w:ascii="仿宋_GB2312" w:hAnsi="宋体" w:eastAsia="仿宋_GB2312" w:cs="Arial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1.资产总额：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2.所有者权益：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438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4.流动负债：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 xml:space="preserve">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2.职务: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2.职务: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7811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numPr>
                      <w:ilvl w:val="0"/>
                      <w:numId w:val="1"/>
                    </w:num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名称:               </w:t>
                  </w:r>
                </w:p>
                <w:p>
                  <w:pPr>
                    <w:numPr>
                      <w:ilvl w:val="0"/>
                      <w:numId w:val="1"/>
                    </w:num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帐号: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7811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1" w:hRule="atLeast"/>
                <w:jc w:val="center"/>
              </w:trPr>
              <w:tc>
                <w:tcPr>
                  <w:tcW w:w="1438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7811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4"/>
              <w:tblW w:w="8237" w:type="dxa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/>
                    </w:rPr>
                  </w:pP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</w:rPr>
                    <w:t>湖南路桥建设集团有限责任公司</w:t>
                  </w:r>
                  <w:r>
                    <w:rPr>
                      <w:rFonts w:hint="eastAsia" w:ascii="仿宋_GB2312" w:hAnsi="宋体" w:eastAsia="仿宋_GB2312" w:cs="宋体"/>
                      <w:bCs/>
                      <w:kern w:val="1"/>
                      <w:szCs w:val="21"/>
                      <w:lang w:val="en-US" w:eastAsia="zh-CN"/>
                    </w:rPr>
                    <w:t>一分公司沙港路大修工程第二期工程项目水泥招标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H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>NRB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-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>YFZS-SN- 2023-01</w:t>
                  </w:r>
                  <w:bookmarkStart w:id="3" w:name="_GoBack"/>
                  <w:bookmarkEnd w:id="3"/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kern w:val="1"/>
                      <w:sz w:val="24"/>
                      <w:szCs w:val="24"/>
                      <w:highlight w:val="none"/>
                      <w:u w:val="no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kern w:val="1"/>
                      <w:sz w:val="30"/>
                      <w:szCs w:val="30"/>
                      <w:highlight w:val="none"/>
                      <w:u w:val="none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firstLine="210" w:firstLineChars="100"/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2"/>
                    <w:ind w:firstLine="240" w:firstLineChars="100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pStyle w:val="2"/>
                    <w:ind w:firstLine="240" w:firstLineChars="100"/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B86EC"/>
    <w:multiLevelType w:val="singleLevel"/>
    <w:tmpl w:val="990B86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M1MzY4ZDU4OWUwZTVlODkyNmM1ZDI1OWFmZmIxNTAifQ=="/>
  </w:docVars>
  <w:rsids>
    <w:rsidRoot w:val="1C693FFA"/>
    <w:rsid w:val="000D24AD"/>
    <w:rsid w:val="003E1303"/>
    <w:rsid w:val="00421647"/>
    <w:rsid w:val="00573023"/>
    <w:rsid w:val="006F788C"/>
    <w:rsid w:val="00847C40"/>
    <w:rsid w:val="00C84604"/>
    <w:rsid w:val="00CB60F3"/>
    <w:rsid w:val="00EB5E44"/>
    <w:rsid w:val="00EE22BB"/>
    <w:rsid w:val="01B91CF5"/>
    <w:rsid w:val="07EB7B9F"/>
    <w:rsid w:val="0EB37AAF"/>
    <w:rsid w:val="0EEC2E87"/>
    <w:rsid w:val="11427A70"/>
    <w:rsid w:val="13A11272"/>
    <w:rsid w:val="14BB3236"/>
    <w:rsid w:val="15464C61"/>
    <w:rsid w:val="15994A4E"/>
    <w:rsid w:val="16CE08A1"/>
    <w:rsid w:val="177C4D7A"/>
    <w:rsid w:val="1815481A"/>
    <w:rsid w:val="18666B36"/>
    <w:rsid w:val="1ABD7CE0"/>
    <w:rsid w:val="1BFB2CDA"/>
    <w:rsid w:val="1C693FFA"/>
    <w:rsid w:val="1DB9504E"/>
    <w:rsid w:val="1F9111F4"/>
    <w:rsid w:val="1FFD6D06"/>
    <w:rsid w:val="22937EED"/>
    <w:rsid w:val="23E12CD1"/>
    <w:rsid w:val="246E1B16"/>
    <w:rsid w:val="2486339D"/>
    <w:rsid w:val="248F552B"/>
    <w:rsid w:val="262D38F9"/>
    <w:rsid w:val="285C3EA0"/>
    <w:rsid w:val="2AA624D0"/>
    <w:rsid w:val="2B3A2FFC"/>
    <w:rsid w:val="2BF56F08"/>
    <w:rsid w:val="2CD424D2"/>
    <w:rsid w:val="2D277614"/>
    <w:rsid w:val="2D330206"/>
    <w:rsid w:val="2D3B51F9"/>
    <w:rsid w:val="2DB047E5"/>
    <w:rsid w:val="2DF04F5F"/>
    <w:rsid w:val="2F5E7045"/>
    <w:rsid w:val="30840059"/>
    <w:rsid w:val="315821BD"/>
    <w:rsid w:val="32C92B5B"/>
    <w:rsid w:val="3468176E"/>
    <w:rsid w:val="361D2231"/>
    <w:rsid w:val="36A22F3A"/>
    <w:rsid w:val="38757CAA"/>
    <w:rsid w:val="39901B14"/>
    <w:rsid w:val="3B7446B6"/>
    <w:rsid w:val="3C0A3495"/>
    <w:rsid w:val="3CF426F6"/>
    <w:rsid w:val="3F3C54D2"/>
    <w:rsid w:val="40C47A65"/>
    <w:rsid w:val="40DA0D85"/>
    <w:rsid w:val="41421040"/>
    <w:rsid w:val="418725AB"/>
    <w:rsid w:val="41DD52FB"/>
    <w:rsid w:val="426C389B"/>
    <w:rsid w:val="42DD55DF"/>
    <w:rsid w:val="4465264C"/>
    <w:rsid w:val="468C0276"/>
    <w:rsid w:val="46B33CAF"/>
    <w:rsid w:val="46D325FD"/>
    <w:rsid w:val="47B51C0C"/>
    <w:rsid w:val="47CC6652"/>
    <w:rsid w:val="482D2D93"/>
    <w:rsid w:val="4C537026"/>
    <w:rsid w:val="4D602C35"/>
    <w:rsid w:val="4D926364"/>
    <w:rsid w:val="4DE515EF"/>
    <w:rsid w:val="50410DA5"/>
    <w:rsid w:val="574E2AFD"/>
    <w:rsid w:val="58742BA9"/>
    <w:rsid w:val="5A3146CB"/>
    <w:rsid w:val="5AA45E6F"/>
    <w:rsid w:val="5B176A45"/>
    <w:rsid w:val="5CFC49EB"/>
    <w:rsid w:val="604D4C93"/>
    <w:rsid w:val="610B55C9"/>
    <w:rsid w:val="624A7A36"/>
    <w:rsid w:val="64FC48B9"/>
    <w:rsid w:val="673E4247"/>
    <w:rsid w:val="6AAA2A3D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7C17469"/>
    <w:rsid w:val="77DC0892"/>
    <w:rsid w:val="79B5740E"/>
    <w:rsid w:val="7A7A657A"/>
    <w:rsid w:val="7B641ABA"/>
    <w:rsid w:val="7DE044B6"/>
    <w:rsid w:val="7F3D0765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589</Words>
  <Characters>623</Characters>
  <Lines>6</Lines>
  <Paragraphs>1</Paragraphs>
  <TotalTime>70</TotalTime>
  <ScaleCrop>false</ScaleCrop>
  <LinksUpToDate>false</LinksUpToDate>
  <CharactersWithSpaces>756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91985</cp:lastModifiedBy>
  <cp:lastPrinted>2020-09-10T11:49:00Z</cp:lastPrinted>
  <dcterms:modified xsi:type="dcterms:W3CDTF">2023-03-02T03:32:39Z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CEC7FE303D23401AAD0182F1AAE2B67A</vt:lpwstr>
  </property>
</Properties>
</file>